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60" w:lineRule="exact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OLE_LINK1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  <w:bookmarkEnd w:id="0"/>
    </w:p>
    <w:p>
      <w:pPr>
        <w:spacing w:line="560" w:lineRule="exact"/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深圳市福田区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关于大力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支持</w:t>
      </w:r>
      <w:r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  <w:t>融资租赁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行业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高质量发展的若干措施</w:t>
      </w:r>
    </w:p>
    <w:p>
      <w:pPr>
        <w:overflowPunct w:val="0"/>
        <w:spacing w:line="560" w:lineRule="exact"/>
        <w:jc w:val="center"/>
        <w:rPr>
          <w:rFonts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为落实《广东省大力发展融资租赁支持制造业高质量发展的指导意见》《深圳市关于加快推动飞机、船舶租赁发展的实施方案（2023-2025）》，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打造融资租赁发展高地，推动行业高质量发展，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针对融资租赁公司和金融租赁公司（以下合称租赁企业）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特制定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如下措施。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ind w:firstLine="640" w:firstLineChars="200"/>
        <w:rPr>
          <w:rFonts w:ascii="楷体_GB2312" w:hAnsi="楷体_GB2312" w:eastAsia="楷体_GB2312"/>
          <w:sz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一</w:t>
      </w:r>
      <w:r>
        <w:rPr>
          <w:rFonts w:ascii="黑体" w:hAnsi="黑体" w:eastAsia="黑体" w:cs="黑体"/>
          <w:sz w:val="32"/>
          <w:szCs w:val="32"/>
          <w:highlight w:val="none"/>
        </w:rPr>
        <w:t>、</w:t>
      </w: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大力招引优质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企业，打造融资租赁发展高地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eastAsia="zh-CN"/>
        </w:rPr>
        <w:t>）支持企业新设落户，发展壮大总部经济。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对境内外具有实力的知名企业和金融机构（世界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500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强、中国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500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强、大型央企、民企500强等）在辖区设立、收购控股或新迁入的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高质量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租赁企业，依条件给予落户支持，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支持金额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合计一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般不超过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5000万元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yellow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鼓励符合条件的租赁公司申请总部企业认定和总部用地，对于首次认定为福田区总部企业的，给予一般不超过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500万元支持。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eastAsia="zh-CN"/>
        </w:rPr>
        <w:t>）提供优质产业空间，形成行业发展集聚区。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对符合前款规定的融资租赁法人企业，给予购租房支持。在福田区购买自用办公用房的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，按实际购房价格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10%，给予一般不超过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000万元支持，分三年支付。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租赁企业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可申请租用福田区政府产业用房，按规定给予相应的租金优惠，最低可按市场评估价的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0%予以租赁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引导租赁企业集聚发展，利用社会产业空间打造融资租赁专业园区（楼宇），对达到认定标准的，依条件给予30万元一次性认定支持。对入驻租赁专业园区（楼宇）的租赁企业、协助招商引资的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社会</w:t>
      </w:r>
      <w:r>
        <w:rPr>
          <w:rFonts w:hint="eastAsia" w:ascii="仿宋_GB2312" w:hAnsi="仿宋_GB2312" w:eastAsia="仿宋_GB2312" w:cs="仿宋_GB2312"/>
          <w:sz w:val="32"/>
          <w:szCs w:val="32"/>
        </w:rPr>
        <w:t>机构，按条件每年最高给予500万元支持，连续支持三年。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val="en-US" w:eastAsia="zh-CN"/>
        </w:rPr>
        <w:t>（三）完善服务保障，激发人才活力。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对符合条件的租赁企业及相关个人，提供福田英才荟人才支持项目，包括但不限于境外人才个税支持、金融优才支持、金融核心员工支持等，同时按照人才数量等条件给予产业人才住房配租或租房支持。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二、全面支持做优做强主业，推进行业高质量发展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楷体_GB2312" w:hAnsi="楷体_GB2312" w:eastAsia="楷体_GB2312"/>
          <w:sz w:val="32"/>
          <w:highlight w:val="none"/>
        </w:rPr>
        <w:t>（</w:t>
      </w:r>
      <w:r>
        <w:rPr>
          <w:rFonts w:hint="eastAsia" w:ascii="楷体_GB2312" w:hAnsi="楷体_GB2312" w:eastAsia="楷体_GB2312"/>
          <w:sz w:val="32"/>
          <w:highlight w:val="none"/>
          <w:lang w:eastAsia="zh-CN"/>
        </w:rPr>
        <w:t>四）</w:t>
      </w:r>
      <w:r>
        <w:rPr>
          <w:rFonts w:hint="eastAsia" w:ascii="楷体_GB2312" w:hAnsi="楷体_GB2312" w:eastAsia="楷体_GB2312"/>
          <w:sz w:val="32"/>
          <w:highlight w:val="none"/>
          <w:lang w:val="en-US" w:eastAsia="zh-CN"/>
        </w:rPr>
        <w:t>鼓励增资扩股，增强资本实力。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对已在我区注册设立的租赁企业，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单次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增资规模超过5亿元或每达到新设租赁企业实收资本标准50%的，依条件给予30万元支持，累计增资支持不超过300万元。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Times New Roman"/>
          <w:sz w:val="32"/>
          <w:highlight w:val="none"/>
          <w:lang w:val="en-US" w:eastAsia="zh-CN"/>
        </w:rPr>
        <w:t>（五）支持开展飞机、船舶等项目，丰富跨境租赁业态。</w:t>
      </w:r>
      <w:r>
        <w:rPr>
          <w:rFonts w:hint="eastAsia" w:ascii="仿宋_GB2312" w:hAnsi="仿宋_GB2312" w:eastAsia="仿宋_GB2312" w:cs="仿宋_GB2312"/>
          <w:b w:val="0"/>
          <w:color w:val="000000"/>
          <w:kern w:val="2"/>
          <w:sz w:val="32"/>
          <w:szCs w:val="32"/>
          <w:highlight w:val="none"/>
          <w:lang w:val="en-US" w:eastAsia="zh-CN" w:bidi="ar-SA"/>
        </w:rPr>
        <w:t>对在河套深港科技创新合作区深圳园区等地开展飞机、船舶、科研仪器、特种设备等跨境租赁业务的项目公司（SPV），按照不高于上年度实际收取租金金额的8%给予业务奖励，按照不高于上年度利润总额的10%给予机构经营奖励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Times New Roman"/>
          <w:kern w:val="2"/>
          <w:sz w:val="32"/>
          <w:szCs w:val="24"/>
          <w:highlight w:val="none"/>
          <w:lang w:val="en-US" w:eastAsia="zh-CN" w:bidi="ar-SA"/>
        </w:rPr>
        <w:t>（六）鼓励服务科创等产业，推进科创企业升级发展。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对符合条件的租赁企业按照当年度业务发生金额的5‰给予业务支持；若承租方为河套深港科技创新合作区深圳园区法人企业或其他组织，支持比例提升至8‰。单家企业单笔业务支持不超过20万元，每年度总支持金额不超过500万元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Times New Roman"/>
          <w:kern w:val="2"/>
          <w:sz w:val="32"/>
          <w:szCs w:val="24"/>
          <w:highlight w:val="none"/>
          <w:lang w:val="en-US" w:eastAsia="zh-CN" w:bidi="ar-SA"/>
        </w:rPr>
        <w:t>（七）支持开展普惠租赁业务，助力中小微企业发展。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  <w:t>对于上年度为辖区内中小微企业融资融物累计超过1亿元的租赁企业，根据上年度租赁总额的1‰给予普惠型租赁支持，每年度支持金额不超过100万元。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Times New Roman"/>
          <w:b w:val="0"/>
          <w:kern w:val="2"/>
          <w:sz w:val="32"/>
          <w:szCs w:val="24"/>
          <w:highlight w:val="none"/>
          <w:lang w:val="en-US" w:eastAsia="zh-CN" w:bidi="ar-SA"/>
        </w:rPr>
        <w:t>（八）引导开展固定资产投资，加快落地重大项目。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  <w:t>对符合条件的融资租赁项目，按照不高于每年度实际纳入福田区固定资产投资额的3‰给予支持，单家企业最高不超过300万元。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after="0" w:line="560" w:lineRule="exact"/>
        <w:ind w:firstLine="640" w:firstLineChars="200"/>
        <w:jc w:val="both"/>
        <w:textAlignment w:val="baseline"/>
        <w:rPr>
          <w:rFonts w:hint="eastAsia" w:ascii="黑体" w:hAnsi="黑体" w:eastAsia="黑体" w:cs="黑体"/>
          <w:kern w:val="2"/>
          <w:sz w:val="32"/>
          <w:szCs w:val="24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24"/>
          <w:highlight w:val="none"/>
          <w:lang w:val="en-US" w:eastAsia="zh-CN" w:bidi="ar-SA"/>
        </w:rPr>
        <w:t>三、持续优化营商环境，提升行业生态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after="0" w:line="560" w:lineRule="exact"/>
        <w:ind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Times New Roman"/>
          <w:b w:val="0"/>
          <w:kern w:val="2"/>
          <w:sz w:val="32"/>
          <w:szCs w:val="24"/>
          <w:highlight w:val="none"/>
          <w:lang w:val="en-US" w:eastAsia="zh-CN" w:bidi="ar-SA"/>
        </w:rPr>
        <w:t>（九）</w:t>
      </w:r>
      <w:r>
        <w:rPr>
          <w:rFonts w:hint="default" w:ascii="楷体_GB2312" w:hAnsi="楷体_GB2312" w:eastAsia="楷体_GB2312" w:cs="Times New Roman"/>
          <w:b w:val="0"/>
          <w:kern w:val="2"/>
          <w:sz w:val="32"/>
          <w:szCs w:val="24"/>
          <w:highlight w:val="none"/>
          <w:lang w:val="en-US" w:eastAsia="zh-CN" w:bidi="ar-SA"/>
        </w:rPr>
        <w:t>引导立足主责主业</w:t>
      </w:r>
      <w:r>
        <w:rPr>
          <w:rFonts w:hint="eastAsia" w:ascii="楷体_GB2312" w:hAnsi="楷体_GB2312" w:eastAsia="楷体_GB2312" w:cs="Times New Roman"/>
          <w:b w:val="0"/>
          <w:kern w:val="2"/>
          <w:sz w:val="32"/>
          <w:szCs w:val="24"/>
          <w:highlight w:val="none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鼓励企业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不断完善治理结构，提升市场化法治化经营水平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，探索开展教育、科技、卫生健康、特种设备等领域设备租赁业务。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鼓励加强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产融合作交流，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畅通融资、融物渠道。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after="0"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Times New Roman"/>
          <w:b w:val="0"/>
          <w:kern w:val="2"/>
          <w:sz w:val="32"/>
          <w:szCs w:val="24"/>
          <w:highlight w:val="none"/>
          <w:lang w:val="en-US" w:eastAsia="zh-CN" w:bidi="ar-SA"/>
        </w:rPr>
        <w:t>（十）完善业务办理流程。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  <w:t>优化</w:t>
      </w:r>
      <w:r>
        <w:rPr>
          <w:rFonts w:hint="default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  <w:t>机动车等动产融资租赁抵（质）押登记备案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  <w:t>申请医疗器械经营许可或办理备案手续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  <w:t>等，协调法律机构予以支持，</w:t>
      </w:r>
      <w:r>
        <w:rPr>
          <w:rFonts w:hint="default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  <w:t>支持符合条件的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  <w:t>租赁企业</w:t>
      </w:r>
      <w:r>
        <w:rPr>
          <w:rFonts w:hint="default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  <w:t>接入人民银行征信系统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/>
          <w:sz w:val="32"/>
          <w:highlight w:val="none"/>
          <w:lang w:eastAsia="zh-CN"/>
        </w:rPr>
        <w:t>（十一）</w:t>
      </w:r>
      <w:r>
        <w:rPr>
          <w:rFonts w:ascii="楷体_GB2312" w:hAnsi="楷体_GB2312" w:eastAsia="楷体_GB2312"/>
          <w:sz w:val="32"/>
          <w:highlight w:val="none"/>
        </w:rPr>
        <w:t>强化风险防控。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督促企业以符合监管要求、权属清晰、真实存在且能够产生收益的租赁物开展业务，严禁开展涉新增政府隐性债务或公益性资产的业务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提升资产负债期限结构管理能力，建立健全租赁物价值评估定价体系。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baseline"/>
        <w:rPr>
          <w:rFonts w:hint="eastAsia" w:ascii="黑体" w:hAnsi="黑体" w:eastAsia="黑体" w:cs="黑体"/>
          <w:b w:val="0"/>
          <w:kern w:val="2"/>
          <w:sz w:val="32"/>
          <w:szCs w:val="24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kern w:val="2"/>
          <w:sz w:val="32"/>
          <w:szCs w:val="24"/>
          <w:highlight w:val="none"/>
          <w:lang w:val="en-US" w:eastAsia="zh-CN" w:bidi="ar-SA"/>
        </w:rPr>
        <w:t>四、其他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ind w:firstLine="640" w:firstLineChars="0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24"/>
          <w:highlight w:val="none"/>
          <w:lang w:val="en-US" w:eastAsia="zh-CN" w:bidi="ar-SA"/>
        </w:rPr>
        <w:t>（十二）重大项目支持。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对于区政府重点支持的“特大、紧缺、关键”项目，可采取“一事一议”方式予以支持。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after="0"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24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4"/>
          <w:highlight w:val="none"/>
          <w:lang w:val="en-US" w:eastAsia="zh-CN" w:bidi="ar-SA"/>
        </w:rPr>
        <w:t>（十三）本文件资金受年度预算总额控制，福田区视申报情况和预算安排，据以对支持金额、支持比例和拨付进度等进行统一调整，申报单位应无条件同意调整结果。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after="0"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24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4"/>
          <w:highlight w:val="none"/>
          <w:lang w:val="en-US" w:eastAsia="zh-CN" w:bidi="ar-SA"/>
        </w:rPr>
        <w:t>（十四）符合本文件规定的同一项目同时符合本区其他扶持政策规定的，按照就高不重复的原则执行。同一项目同时符合本文件第（六）款、第（七）款规定的，不能同时申请支持。</w:t>
      </w:r>
      <w:r>
        <w:rPr>
          <w:rFonts w:hint="eastAsia" w:eastAsia="仿宋_GB2312" w:cs="仿宋_GB2312"/>
          <w:color w:val="000000"/>
          <w:spacing w:val="-11"/>
          <w:sz w:val="32"/>
          <w:szCs w:val="32"/>
          <w:highlight w:val="none"/>
          <w:lang w:eastAsia="zh-CN"/>
        </w:rPr>
        <w:t>第（二）款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购房和租房</w:t>
      </w:r>
      <w:r>
        <w:rPr>
          <w:rFonts w:hint="eastAsia" w:ascii="Calibri" w:hAnsi="Calibri" w:eastAsia="仿宋_GB2312" w:cs="仿宋_GB2312"/>
          <w:color w:val="000000"/>
          <w:spacing w:val="-11"/>
          <w:sz w:val="32"/>
          <w:szCs w:val="32"/>
          <w:highlight w:val="none"/>
        </w:rPr>
        <w:t>支持在同一年度不得同时享受</w:t>
      </w:r>
      <w:r>
        <w:rPr>
          <w:rFonts w:hint="eastAsia" w:eastAsia="仿宋_GB2312" w:cs="仿宋_GB2312"/>
          <w:color w:val="000000"/>
          <w:spacing w:val="-11"/>
          <w:sz w:val="32"/>
          <w:szCs w:val="32"/>
          <w:highlight w:val="none"/>
          <w:lang w:eastAsia="zh-CN"/>
        </w:rPr>
        <w:t>。</w:t>
      </w:r>
    </w:p>
    <w:p>
      <w:pPr>
        <w:pageBreakBefore w:val="0"/>
        <w:widowControl w:val="0"/>
        <w:kinsoku/>
        <w:wordWrap/>
        <w:topLinePunct w:val="0"/>
        <w:bidi w:val="0"/>
        <w:spacing w:line="560" w:lineRule="exact"/>
        <w:ind w:firstLine="640" w:firstLineChars="200"/>
      </w:pPr>
      <w:r>
        <w:rPr>
          <w:rFonts w:hint="eastAsia" w:ascii="仿宋_GB2312" w:hAnsi="仿宋_GB2312" w:eastAsia="仿宋_GB2312" w:cs="仿宋_GB2312"/>
          <w:kern w:val="2"/>
          <w:sz w:val="32"/>
          <w:szCs w:val="24"/>
          <w:highlight w:val="none"/>
          <w:lang w:val="en-US" w:eastAsia="zh-CN" w:bidi="ar-SA"/>
        </w:rPr>
        <w:t>（十五）本文件自印发之日起施行，有效期至2025年6月30日。</w:t>
      </w:r>
      <w:bookmarkStart w:id="1" w:name="_GoBack"/>
      <w:bookmarkEnd w:id="1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-webkit-standard">
    <w:altName w:val="华文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30AC6"/>
    <w:rsid w:val="17730AC6"/>
    <w:rsid w:val="1DED4E09"/>
    <w:rsid w:val="47FF37BD"/>
    <w:rsid w:val="5F951B6E"/>
    <w:rsid w:val="63562F79"/>
    <w:rsid w:val="67BBDC9A"/>
    <w:rsid w:val="6D7F011C"/>
    <w:rsid w:val="6FFB13F7"/>
    <w:rsid w:val="75FFB1D6"/>
    <w:rsid w:val="79BF0EF6"/>
    <w:rsid w:val="79E8B91C"/>
    <w:rsid w:val="B57C8567"/>
    <w:rsid w:val="CEF737B7"/>
    <w:rsid w:val="DE9BED7E"/>
    <w:rsid w:val="EE3BE992"/>
    <w:rsid w:val="F54FA042"/>
    <w:rsid w:val="F7BF52E2"/>
    <w:rsid w:val="FFFF337D"/>
    <w:rsid w:val="FFFFC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ind w:left="120"/>
    </w:pPr>
    <w:rPr>
      <w:sz w:val="28"/>
      <w:szCs w:val="2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"/>
    <w:basedOn w:val="3"/>
    <w:next w:val="1"/>
    <w:qFormat/>
    <w:uiPriority w:val="0"/>
    <w:pPr>
      <w:ind w:firstLine="420" w:firstLineChars="100"/>
    </w:pPr>
    <w:rPr>
      <w:rFonts w:ascii="Calibri" w:hAnsi="Calibri"/>
    </w:rPr>
  </w:style>
  <w:style w:type="character" w:customStyle="1" w:styleId="8">
    <w:name w:val="标题 1 Char"/>
    <w:link w:val="2"/>
    <w:qFormat/>
    <w:uiPriority w:val="0"/>
    <w:rPr>
      <w:b/>
      <w:kern w:val="44"/>
      <w:sz w:val="44"/>
    </w:rPr>
  </w:style>
  <w:style w:type="paragraph" w:customStyle="1" w:styleId="9">
    <w:name w:val="Heading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ascii="宋体" w:hAnsi="宋体" w:eastAsia="宋体" w:cs="Times New Roman"/>
      <w:b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67</TotalTime>
  <ScaleCrop>false</ScaleCrop>
  <LinksUpToDate>false</LinksUpToDate>
  <CharactersWithSpaces>0</CharactersWithSpaces>
  <Application>WPS Office_11.8.2.11717_F1E327BC-269C-435d-A152-05C5408002CA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2024-02-08T08:55:00Z</dcterms:created>
  <dc:creator>陈东梅</dc:creator>
  <cp:lastModifiedBy>傅晓盈</cp:lastModifiedBy>
  <dcterms:modified xsi:type="dcterms:W3CDTF">2024-02-29T16:51:35Z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2052-11.8.2.11717</vt:lpwstr>
  </property>
  <property fmtid="{D5CDD505-2E9C-101B-9397-08002B2CF9AE}" pid="3" name="ICV">
    <vt:lpwstr>B5EE12D8E3D84493946F2AC5AE4AD654</vt:lpwstr>
  </property>
</Properties>
</file>