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400" w:lineRule="atLeast"/>
        <w:ind w:left="0" w:right="0" w:firstLine="0"/>
        <w:jc w:val="both"/>
        <w:rPr>
          <w:rFonts w:ascii="微软雅黑" w:hAnsi="微软雅黑" w:eastAsia="微软雅黑" w:cs="微软雅黑"/>
          <w:b w:val="0"/>
          <w:i w:val="0"/>
          <w:caps w:val="0"/>
          <w:color w:val="333333"/>
          <w:spacing w:val="0"/>
          <w:sz w:val="16"/>
          <w:szCs w:val="16"/>
        </w:rPr>
      </w:pPr>
      <w:r>
        <w:rPr>
          <w:rFonts w:ascii="黑体" w:hAnsi="宋体" w:eastAsia="黑体" w:cs="黑体"/>
          <w:b w:val="0"/>
          <w:i w:val="0"/>
          <w:caps w:val="0"/>
          <w:color w:val="333333"/>
          <w:spacing w:val="0"/>
          <w:sz w:val="21"/>
          <w:szCs w:val="21"/>
          <w:bdr w:val="none" w:color="auto" w:sz="0" w:space="0"/>
          <w:shd w:val="clear" w:fill="FFFFFF"/>
        </w:rPr>
        <w:t>附件</w:t>
      </w:r>
      <w:r>
        <w:rPr>
          <w:rFonts w:hint="eastAsia" w:ascii="黑体" w:hAnsi="宋体" w:eastAsia="黑体" w:cs="黑体"/>
          <w:b w:val="0"/>
          <w:i w:val="0"/>
          <w:caps w:val="0"/>
          <w:color w:val="333333"/>
          <w:spacing w:val="0"/>
          <w:sz w:val="21"/>
          <w:szCs w:val="21"/>
          <w:bdr w:val="none" w:color="auto" w:sz="0" w:space="0"/>
          <w:shd w:val="clear" w:fill="FFFFFF"/>
        </w:rPr>
        <w:t>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0" w:right="0" w:firstLine="0"/>
        <w:jc w:val="center"/>
        <w:rPr>
          <w:rFonts w:hint="eastAsia" w:ascii="微软雅黑" w:hAnsi="微软雅黑" w:eastAsia="微软雅黑" w:cs="微软雅黑"/>
          <w:b w:val="0"/>
          <w:i w:val="0"/>
          <w:caps w:val="0"/>
          <w:color w:val="333333"/>
          <w:spacing w:val="0"/>
          <w:sz w:val="16"/>
          <w:szCs w:val="16"/>
        </w:rPr>
      </w:pPr>
      <w:bookmarkStart w:id="0" w:name="_GoBack"/>
      <w:r>
        <w:rPr>
          <w:rFonts w:hint="eastAsia" w:ascii="黑体" w:hAnsi="宋体" w:eastAsia="黑体" w:cs="黑体"/>
          <w:b w:val="0"/>
          <w:i w:val="0"/>
          <w:caps w:val="0"/>
          <w:color w:val="333333"/>
          <w:spacing w:val="0"/>
          <w:sz w:val="21"/>
          <w:szCs w:val="21"/>
          <w:bdr w:val="none" w:color="auto" w:sz="0" w:space="0"/>
          <w:shd w:val="clear" w:fill="FFFFFF"/>
        </w:rPr>
        <w:t>区域性股权市场现场检查要点清单</w:t>
      </w:r>
    </w:p>
    <w:bookmarkEnd w:id="0"/>
    <w:tbl>
      <w:tblPr>
        <w:tblW w:w="4998" w:type="pct"/>
        <w:tblInd w:w="0" w:type="dxa"/>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Layout w:type="autofit"/>
        <w:tblCellMar>
          <w:top w:w="15" w:type="dxa"/>
          <w:left w:w="15" w:type="dxa"/>
          <w:bottom w:w="15" w:type="dxa"/>
          <w:right w:w="15" w:type="dxa"/>
        </w:tblCellMar>
      </w:tblPr>
      <w:tblGrid>
        <w:gridCol w:w="1657"/>
        <w:gridCol w:w="1554"/>
        <w:gridCol w:w="7892"/>
        <w:gridCol w:w="2989"/>
      </w:tblGrid>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tcBorders>
              <w:top w:val="single" w:color="auto" w:sz="4" w:space="0"/>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检查内容</w:t>
            </w:r>
          </w:p>
        </w:tc>
        <w:tc>
          <w:tcPr>
            <w:tcW w:w="551"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检查项目</w:t>
            </w:r>
          </w:p>
        </w:tc>
        <w:tc>
          <w:tcPr>
            <w:tcW w:w="2799"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检查要点</w:t>
            </w:r>
          </w:p>
        </w:tc>
        <w:tc>
          <w:tcPr>
            <w:tcW w:w="1060" w:type="pct"/>
            <w:tcBorders>
              <w:top w:val="single" w:color="auto" w:sz="4" w:space="0"/>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eastAsia" w:ascii="黑体" w:hAnsi="宋体" w:eastAsia="黑体" w:cs="黑体"/>
                <w:sz w:val="14"/>
                <w:szCs w:val="14"/>
                <w:bdr w:val="none" w:color="auto" w:sz="0" w:space="0"/>
              </w:rPr>
              <w:t>检查情况</w:t>
            </w: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ascii="仿宋_GB2312" w:eastAsia="仿宋_GB2312" w:cs="仿宋_GB2312"/>
                <w:sz w:val="14"/>
                <w:szCs w:val="14"/>
                <w:bdr w:val="none" w:color="auto" w:sz="0" w:space="0"/>
              </w:rPr>
              <w:t>基本情况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行业准入</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是否经省政府批准设立或授权、证监会备案，具备开展中小微企业证券非公开发行、转让及相关活动的资质。</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rPr>
                <w:sz w:val="14"/>
                <w:szCs w:val="14"/>
              </w:rPr>
            </w:pPr>
            <w:r>
              <w:rPr>
                <w:rFonts w:hint="default" w:ascii="仿宋_GB2312" w:eastAsia="仿宋_GB2312" w:cs="仿宋_GB2312"/>
                <w:sz w:val="14"/>
                <w:szCs w:val="14"/>
                <w:bdr w:val="none" w:color="auto" w:sz="0" w:space="0"/>
              </w:rPr>
              <w:t>变更事项</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名称、组织形式、注册资本、控股股东、住所等事项发生变更，是否按交易场所监管办法有关规定执行。</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注册资本</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是否不低于1亿元人民币并实缴到位，有无抽逃注册资本行为。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合规情况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业务范围</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是否主要服务于所在省级行政区域内中小微企业的私募股权市场。</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跨区域经营</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是否跨省级行政区域经营。是否设立省外分支机构。</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业务类型</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是否公开或变相发行证券。</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业务规则</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是否针对各项业务建立相应的业务规则。</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自律管理</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是否建立完整的自律规则，实现对所有挂牌企业的自律监管。</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分层管理</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是否对不同资质的挂牌企业实施分层管理，按不同层级实施差异化的信息披露。</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信息披露</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是否建立完善的企业信息披露制度，定期更新企业有关重要信息。</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410" w:hRule="atLeast"/>
        </w:trPr>
        <w:tc>
          <w:tcPr>
            <w:tcW w:w="588" w:type="pct"/>
            <w:vMerge w:val="restart"/>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400" w:lineRule="atLeast"/>
              <w:ind w:left="0" w:right="0"/>
              <w:jc w:val="center"/>
              <w:rPr>
                <w:sz w:val="14"/>
                <w:szCs w:val="14"/>
              </w:rPr>
            </w:pPr>
            <w:r>
              <w:rPr>
                <w:rFonts w:hint="default" w:ascii="仿宋_GB2312" w:eastAsia="仿宋_GB2312" w:cs="仿宋_GB2312"/>
                <w:sz w:val="14"/>
                <w:szCs w:val="14"/>
                <w:bdr w:val="none" w:color="auto" w:sz="0" w:space="0"/>
              </w:rPr>
              <w:t>风险情况</w:t>
            </w: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重大事项报告</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是否及时向省地方金融监督管理局报送重大事项信息。</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常态化风险防控</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是否建立常态化风险防控制度或办法。</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风险处置预案</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是否建立完善的风险处置预案，明确责任部门、处置时限以及工作标准。</w:t>
            </w:r>
          </w:p>
        </w:tc>
        <w:tc>
          <w:tcPr>
            <w:tcW w:w="1060"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keepNext w:val="0"/>
              <w:keepLines w:val="0"/>
              <w:widowControl/>
              <w:suppressLineNumbers w:val="0"/>
              <w:spacing w:before="0" w:beforeAutospacing="0" w:after="0" w:afterAutospacing="0" w:line="14" w:lineRule="atLeast"/>
              <w:ind w:left="0" w:right="0"/>
              <w:jc w:val="left"/>
              <w:textAlignment w:val="top"/>
              <w:rPr>
                <w:sz w:val="14"/>
                <w:szCs w:val="14"/>
              </w:rPr>
            </w:pPr>
          </w:p>
        </w:tc>
      </w:tr>
      <w:tr>
        <w:tblPrEx>
          <w:tblBorders>
            <w:top w:val="single" w:color="DDDDDD" w:sz="4" w:space="0"/>
            <w:left w:val="single" w:color="DDDDDD" w:sz="4" w:space="0"/>
            <w:bottom w:val="single" w:color="DDDDDD" w:sz="4" w:space="0"/>
            <w:right w:val="single" w:color="DDDDDD" w:sz="4" w:space="0"/>
            <w:insideH w:val="none" w:color="auto" w:sz="0" w:space="0"/>
            <w:insideV w:val="none" w:color="auto" w:sz="0" w:space="0"/>
          </w:tblBorders>
          <w:shd w:val="clear"/>
          <w:tblCellMar>
            <w:top w:w="15" w:type="dxa"/>
            <w:left w:w="15" w:type="dxa"/>
            <w:bottom w:w="15" w:type="dxa"/>
            <w:right w:w="15" w:type="dxa"/>
          </w:tblCellMar>
        </w:tblPrEx>
        <w:trPr>
          <w:trHeight w:val="100" w:hRule="atLeast"/>
        </w:trPr>
        <w:tc>
          <w:tcPr>
            <w:tcW w:w="588" w:type="pct"/>
            <w:vMerge w:val="continue"/>
            <w:tcBorders>
              <w:top w:val="nil"/>
              <w:left w:val="single" w:color="auto" w:sz="4" w:space="0"/>
              <w:bottom w:val="single" w:color="auto" w:sz="4" w:space="0"/>
              <w:right w:val="single" w:color="auto" w:sz="4" w:space="0"/>
            </w:tcBorders>
            <w:shd w:val="clear"/>
            <w:tcMar>
              <w:top w:w="0" w:type="dxa"/>
              <w:left w:w="70" w:type="dxa"/>
              <w:bottom w:w="0" w:type="dxa"/>
              <w:right w:w="70" w:type="dxa"/>
            </w:tcMar>
            <w:vAlign w:val="top"/>
          </w:tcPr>
          <w:p>
            <w:pPr>
              <w:rPr>
                <w:rFonts w:hint="eastAsia" w:ascii="宋体"/>
                <w:sz w:val="14"/>
                <w:szCs w:val="14"/>
              </w:rPr>
            </w:pPr>
          </w:p>
        </w:tc>
        <w:tc>
          <w:tcPr>
            <w:tcW w:w="551"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textAlignment w:val="center"/>
              <w:rPr>
                <w:sz w:val="14"/>
                <w:szCs w:val="14"/>
              </w:rPr>
            </w:pPr>
            <w:r>
              <w:rPr>
                <w:rFonts w:hint="default" w:ascii="仿宋_GB2312" w:eastAsia="仿宋_GB2312" w:cs="仿宋_GB2312"/>
                <w:sz w:val="14"/>
                <w:szCs w:val="14"/>
                <w:bdr w:val="none" w:color="auto" w:sz="0" w:space="0"/>
              </w:rPr>
              <w:t>信息报送</w:t>
            </w:r>
          </w:p>
        </w:tc>
        <w:tc>
          <w:tcPr>
            <w:tcW w:w="2799" w:type="pct"/>
            <w:tcBorders>
              <w:top w:val="nil"/>
              <w:left w:val="nil"/>
              <w:bottom w:val="single" w:color="auto" w:sz="4" w:space="0"/>
              <w:right w:val="single" w:color="auto" w:sz="4" w:space="0"/>
            </w:tcBorders>
            <w:shd w:val="clear"/>
            <w:tcMar>
              <w:top w:w="0" w:type="dxa"/>
              <w:left w:w="70" w:type="dxa"/>
              <w:bottom w:w="0" w:type="dxa"/>
              <w:right w:w="7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4" w:lineRule="atLeast"/>
              <w:ind w:left="0" w:right="0"/>
              <w:rPr>
                <w:sz w:val="14"/>
                <w:szCs w:val="14"/>
              </w:rPr>
            </w:pPr>
            <w:r>
              <w:rPr>
                <w:rFonts w:hint="default" w:ascii="仿宋_GB2312" w:eastAsia="仿宋_GB2312" w:cs="仿宋_GB2312"/>
                <w:sz w:val="14"/>
                <w:szCs w:val="14"/>
                <w:bdr w:val="none" w:color="auto" w:sz="0" w:space="0"/>
              </w:rPr>
              <w:t>是否将有关风险信息以及进展情况及时向省地方金融监督管理局报告。</w:t>
            </w:r>
          </w:p>
        </w:tc>
        <w:tc>
          <w:tcPr>
            <w:tcW w:w="1060" w:type="pct"/>
            <w:shd w:val="clear"/>
            <w:vAlign w:val="center"/>
          </w:tcPr>
          <w:p>
            <w:pPr>
              <w:rPr>
                <w:rFonts w:hint="eastAsia" w:ascii="宋体"/>
                <w:sz w:val="14"/>
                <w:szCs w:val="1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20BB6"/>
    <w:rsid w:val="24505671"/>
    <w:rsid w:val="6DA2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cs="仿宋" w:asciiTheme="minorHAnsi" w:hAnsiTheme="minorHAnsi"/>
      <w:kern w:val="2"/>
      <w:sz w:val="30"/>
      <w:szCs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2020-12-13T12:28:00Z</dcterms:created>
  <dc:creator>小小</dc:creator>
  <cp:lastModifiedBy>小小</cp:lastModifiedBy>
  <dcterms:modified xsi:type="dcterms:W3CDTF">2020-12-13T12:29:07Z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