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0" w:lineRule="atLeast"/>
        <w:ind w:left="0" w:right="0" w:firstLine="0"/>
        <w:jc w:val="both"/>
        <w:rPr>
          <w:rFonts w:ascii="微软雅黑" w:hAnsi="微软雅黑" w:eastAsia="微软雅黑" w:cs="微软雅黑"/>
          <w:b w:val="0"/>
          <w:i w:val="0"/>
          <w:caps w:val="0"/>
          <w:color w:val="333333"/>
          <w:spacing w:val="0"/>
          <w:sz w:val="16"/>
          <w:szCs w:val="16"/>
        </w:rPr>
      </w:pPr>
      <w:r>
        <w:rPr>
          <w:rFonts w:ascii="黑体" w:hAnsi="宋体" w:eastAsia="黑体" w:cs="黑体"/>
          <w:b w:val="0"/>
          <w:i w:val="0"/>
          <w:caps w:val="0"/>
          <w:color w:val="333333"/>
          <w:spacing w:val="0"/>
          <w:sz w:val="21"/>
          <w:szCs w:val="21"/>
          <w:bdr w:val="none" w:color="auto" w:sz="0" w:space="0"/>
          <w:shd w:val="clear" w:fill="FFFFFF"/>
        </w:rPr>
        <w:t>附件</w:t>
      </w:r>
      <w:r>
        <w:rPr>
          <w:rFonts w:hint="eastAsia" w:ascii="黑体" w:hAnsi="宋体" w:eastAsia="黑体" w:cs="黑体"/>
          <w:b w:val="0"/>
          <w:i w:val="0"/>
          <w:caps w:val="0"/>
          <w:color w:val="333333"/>
          <w:spacing w:val="0"/>
          <w:sz w:val="21"/>
          <w:szCs w:val="21"/>
          <w:bdr w:val="none" w:color="auto" w:sz="0" w:space="0"/>
          <w:shd w:val="clear" w:fill="FFFFFF"/>
        </w:rPr>
        <w:t>1.7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center"/>
        <w:rPr>
          <w:rFonts w:hint="eastAsia" w:ascii="微软雅黑" w:hAnsi="微软雅黑" w:eastAsia="微软雅黑" w:cs="微软雅黑"/>
          <w:b w:val="0"/>
          <w:i w:val="0"/>
          <w:caps w:val="0"/>
          <w:color w:val="333333"/>
          <w:spacing w:val="0"/>
          <w:sz w:val="16"/>
          <w:szCs w:val="16"/>
        </w:rPr>
      </w:pPr>
      <w:bookmarkStart w:id="0" w:name="_GoBack"/>
      <w:r>
        <w:rPr>
          <w:rFonts w:hint="eastAsia" w:ascii="黑体" w:hAnsi="宋体" w:eastAsia="黑体" w:cs="黑体"/>
          <w:b w:val="0"/>
          <w:i w:val="0"/>
          <w:caps w:val="0"/>
          <w:color w:val="333333"/>
          <w:spacing w:val="0"/>
          <w:sz w:val="21"/>
          <w:szCs w:val="21"/>
          <w:bdr w:val="none" w:color="auto" w:sz="0" w:space="0"/>
          <w:shd w:val="clear" w:fill="FFFFFF"/>
        </w:rPr>
        <w:t>地方资产管理公司现场检查要点清单</w:t>
      </w:r>
    </w:p>
    <w:bookmarkEnd w:id="0"/>
    <w:tbl>
      <w:tblPr>
        <w:tblW w:w="4999" w:type="pct"/>
        <w:tblInd w:w="0" w:type="dxa"/>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Layout w:type="autofit"/>
        <w:tblCellMar>
          <w:top w:w="15" w:type="dxa"/>
          <w:left w:w="15" w:type="dxa"/>
          <w:bottom w:w="15" w:type="dxa"/>
          <w:right w:w="15" w:type="dxa"/>
        </w:tblCellMar>
      </w:tblPr>
      <w:tblGrid>
        <w:gridCol w:w="1658"/>
        <w:gridCol w:w="1703"/>
        <w:gridCol w:w="7744"/>
        <w:gridCol w:w="2990"/>
      </w:tblGrid>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410" w:hRule="atLeast"/>
        </w:trPr>
        <w:tc>
          <w:tcPr>
            <w:tcW w:w="588" w:type="pct"/>
            <w:tcBorders>
              <w:top w:val="single" w:color="auto" w:sz="4" w:space="0"/>
              <w:left w:val="single" w:color="auto" w:sz="4" w:space="0"/>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eastAsia" w:ascii="黑体" w:hAnsi="宋体" w:eastAsia="黑体" w:cs="黑体"/>
                <w:sz w:val="14"/>
                <w:szCs w:val="14"/>
                <w:bdr w:val="none" w:color="auto" w:sz="0" w:space="0"/>
              </w:rPr>
              <w:t>检查内容</w:t>
            </w:r>
          </w:p>
        </w:tc>
        <w:tc>
          <w:tcPr>
            <w:tcW w:w="604" w:type="pct"/>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eastAsia" w:ascii="黑体" w:hAnsi="宋体" w:eastAsia="黑体" w:cs="黑体"/>
                <w:sz w:val="14"/>
                <w:szCs w:val="14"/>
                <w:bdr w:val="none" w:color="auto" w:sz="0" w:space="0"/>
              </w:rPr>
              <w:t>检查项目</w:t>
            </w:r>
          </w:p>
        </w:tc>
        <w:tc>
          <w:tcPr>
            <w:tcW w:w="2746" w:type="pct"/>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eastAsia" w:ascii="黑体" w:hAnsi="宋体" w:eastAsia="黑体" w:cs="黑体"/>
                <w:sz w:val="14"/>
                <w:szCs w:val="14"/>
                <w:bdr w:val="none" w:color="auto" w:sz="0" w:space="0"/>
              </w:rPr>
              <w:t>检查要点</w:t>
            </w:r>
          </w:p>
        </w:tc>
        <w:tc>
          <w:tcPr>
            <w:tcW w:w="1060" w:type="pct"/>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eastAsia" w:ascii="黑体" w:hAnsi="宋体" w:eastAsia="黑体" w:cs="黑体"/>
                <w:sz w:val="14"/>
                <w:szCs w:val="14"/>
                <w:bdr w:val="none" w:color="auto" w:sz="0" w:space="0"/>
              </w:rPr>
              <w:t>检查情况</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410" w:hRule="atLeast"/>
        </w:trPr>
        <w:tc>
          <w:tcPr>
            <w:tcW w:w="588" w:type="pct"/>
            <w:vMerge w:val="restart"/>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ascii="仿宋_GB2312" w:eastAsia="仿宋_GB2312" w:cs="仿宋_GB2312"/>
                <w:sz w:val="14"/>
                <w:szCs w:val="14"/>
                <w:bdr w:val="none" w:color="auto" w:sz="0" w:space="0"/>
              </w:rPr>
              <w:t>基本情况</w:t>
            </w:r>
          </w:p>
        </w:tc>
        <w:tc>
          <w:tcPr>
            <w:tcW w:w="604"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rPr>
                <w:sz w:val="14"/>
                <w:szCs w:val="14"/>
              </w:rPr>
            </w:pPr>
            <w:r>
              <w:rPr>
                <w:rFonts w:hint="default" w:ascii="仿宋_GB2312" w:eastAsia="仿宋_GB2312" w:cs="仿宋_GB2312"/>
                <w:sz w:val="14"/>
                <w:szCs w:val="14"/>
                <w:bdr w:val="none" w:color="auto" w:sz="0" w:space="0"/>
              </w:rPr>
              <w:t>行业准入</w:t>
            </w: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是否经省政府批准设立或授权、银保监会公布，具备开展金融企业不良资产批量收购、处置业务的资质。</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rPr>
                <w:sz w:val="14"/>
                <w:szCs w:val="14"/>
              </w:rPr>
            </w:pPr>
            <w:r>
              <w:rPr>
                <w:rFonts w:hint="default" w:ascii="仿宋_GB2312" w:eastAsia="仿宋_GB2312" w:cs="仿宋_GB2312"/>
                <w:sz w:val="14"/>
                <w:szCs w:val="14"/>
                <w:bdr w:val="none" w:color="auto" w:sz="0" w:space="0"/>
              </w:rPr>
              <w:t>分支机构</w:t>
            </w: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设立分支机构是否经省地方金融监督管理局批准。掌握基本信息、经营情况和风险情况。</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注册资本</w:t>
            </w: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rPr>
                <w:sz w:val="14"/>
                <w:szCs w:val="14"/>
              </w:rPr>
            </w:pPr>
            <w:r>
              <w:rPr>
                <w:rFonts w:hint="default" w:ascii="仿宋_GB2312" w:eastAsia="仿宋_GB2312" w:cs="仿宋_GB2312"/>
                <w:sz w:val="14"/>
                <w:szCs w:val="14"/>
                <w:bdr w:val="none" w:color="auto" w:sz="0" w:space="0"/>
              </w:rPr>
              <w:t>是否不低于10亿元人民币并实缴到位，有无抽逃注册资本行为。</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股东情况</w:t>
            </w: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股权结构，股东基本信息以及近3年有无重大违法违规行为。</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高管人员</w:t>
            </w: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高管人员是否具备丰富金融行业经验，且无违法违纪行为。</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法人治理结构</w:t>
            </w: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治理结构是否完善，主体权责是否清晰，有无完备议事规则，并严格执行。</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业务范围</w:t>
            </w: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掌握所有类型业务的概况、占比，判断是否专注不良资产收购处置主业，是否参与地方非银行金融机构、非存款类放贷组织等机构不良资产的收购与处置工作。</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跨区域经营</w:t>
            </w: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是否开展省外不良资产批量收购业务。</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restart"/>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default" w:ascii="仿宋_GB2312" w:eastAsia="仿宋_GB2312" w:cs="仿宋_GB2312"/>
                <w:sz w:val="14"/>
                <w:szCs w:val="14"/>
                <w:bdr w:val="none" w:color="auto" w:sz="0" w:space="0"/>
              </w:rPr>
              <w:t>合规情况</w:t>
            </w:r>
          </w:p>
        </w:tc>
        <w:tc>
          <w:tcPr>
            <w:tcW w:w="604"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融资渠道</w:t>
            </w: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是否未经批准向社会公众发行债务性融资工具。</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非法清收</w:t>
            </w: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是否存在以暴力或其他非法手段进行清收的行为。</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vMerge w:val="restar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交易真实有效性</w:t>
            </w: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收购的不良资产是否有实际对应资产或真实交易背景的债权。</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vMerge w:val="continue"/>
            <w:tcBorders>
              <w:top w:val="nil"/>
              <w:left w:val="nil"/>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收购处置不良资产是否实现资产和风险的真实、完全转移，是否存在与转让方在转让合同等正式法律文件之外签订或达成影响资产和风险真实完全转移的改变交易结构、风险承担主体及相关权益转移过程的协议或约定。</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vMerge w:val="continue"/>
            <w:tcBorders>
              <w:top w:val="nil"/>
              <w:left w:val="nil"/>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是否存在帮助金融企业虚假出表掩盖不良资产的行为。</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vMerge w:val="continue"/>
            <w:tcBorders>
              <w:top w:val="nil"/>
              <w:left w:val="nil"/>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是否以收购不良资产名义为企业或项目提供融资。</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vMerge w:val="continue"/>
            <w:tcBorders>
              <w:top w:val="nil"/>
              <w:left w:val="nil"/>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是否存在以明显低于市场价格进行收购、转让等方式向股东或关系人输送非法利益。</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限制收购</w:t>
            </w: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是否收购经国务院批准列入全国企业政策性关闭破产计划的资产、国防军工等涉及国家安全和敏感信息的资产、在借款合同或担保合同中有限制转让条款的资产以及国家法律、法规限制转让的其他资产。</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rPr>
                <w:sz w:val="14"/>
                <w:szCs w:val="14"/>
              </w:rPr>
            </w:pPr>
            <w:r>
              <w:rPr>
                <w:rFonts w:hint="default" w:ascii="仿宋_GB2312" w:eastAsia="仿宋_GB2312" w:cs="仿宋_GB2312"/>
                <w:sz w:val="14"/>
                <w:szCs w:val="14"/>
                <w:bdr w:val="none" w:color="auto" w:sz="0" w:space="0"/>
              </w:rPr>
              <w:t>变更报告</w:t>
            </w: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名称、组织形式、注册资本、控股股东、住所等事项发生变更，是否按规定事前向省地方金融监督管理局书面报告。</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信息披露</w:t>
            </w: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是否建立并完善信息披露制度，明确职责、程序、方式、途径、频率、对象等。</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信息报告</w:t>
            </w: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是否按时向省地方金融监督管理局报送业务数据，及时报告重大事项信息。</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588" w:type="pct"/>
            <w:vMerge w:val="restart"/>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default" w:ascii="仿宋_GB2312" w:eastAsia="仿宋_GB2312" w:cs="仿宋_GB2312"/>
                <w:sz w:val="14"/>
                <w:szCs w:val="14"/>
                <w:bdr w:val="none" w:color="auto" w:sz="0" w:space="0"/>
              </w:rPr>
              <w:t>风险情况</w:t>
            </w:r>
          </w:p>
        </w:tc>
        <w:tc>
          <w:tcPr>
            <w:tcW w:w="604" w:type="pct"/>
            <w:vMerge w:val="restar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default" w:ascii="仿宋_GB2312" w:eastAsia="仿宋_GB2312" w:cs="仿宋_GB2312"/>
                <w:sz w:val="14"/>
                <w:szCs w:val="14"/>
                <w:bdr w:val="none" w:color="auto" w:sz="0" w:space="0"/>
              </w:rPr>
              <w:t>风控制度</w:t>
            </w: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是否建立完备的内部控制、业务流程与风险管理体系，并严格执行。</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vMerge w:val="continue"/>
            <w:tcBorders>
              <w:top w:val="nil"/>
              <w:left w:val="nil"/>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收购不良资产收购是否通过评估或估值程序进行市场公允定价。</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vMerge w:val="continue"/>
            <w:tcBorders>
              <w:top w:val="nil"/>
              <w:left w:val="nil"/>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是否建立风险准备金制度，并严格执行。</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vMerge w:val="restar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rPr>
                <w:sz w:val="14"/>
                <w:szCs w:val="14"/>
              </w:rPr>
            </w:pPr>
            <w:r>
              <w:rPr>
                <w:rFonts w:hint="default" w:ascii="仿宋_GB2312" w:eastAsia="仿宋_GB2312" w:cs="仿宋_GB2312"/>
                <w:sz w:val="14"/>
                <w:szCs w:val="14"/>
                <w:bdr w:val="none" w:color="auto" w:sz="0" w:space="0"/>
              </w:rPr>
              <w:t>流动性风险</w:t>
            </w: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资本充足率是否处于适当区间。</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vMerge w:val="continue"/>
            <w:tcBorders>
              <w:top w:val="nil"/>
              <w:left w:val="nil"/>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流动资金与不良资产是否之间是否存在严重的期限错配。</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tblCellMar>
            <w:top w:w="15" w:type="dxa"/>
            <w:left w:w="15" w:type="dxa"/>
            <w:bottom w:w="15" w:type="dxa"/>
            <w:right w:w="15" w:type="dxa"/>
          </w:tblCellMar>
        </w:tblPrEx>
        <w:trPr>
          <w:trHeight w:val="41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vMerge w:val="restar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jc w:val="center"/>
              <w:rPr>
                <w:sz w:val="14"/>
                <w:szCs w:val="14"/>
              </w:rPr>
            </w:pPr>
            <w:r>
              <w:rPr>
                <w:rFonts w:hint="default" w:ascii="仿宋_GB2312" w:eastAsia="仿宋_GB2312" w:cs="仿宋_GB2312"/>
                <w:sz w:val="14"/>
                <w:szCs w:val="14"/>
                <w:bdr w:val="none" w:color="auto" w:sz="0" w:space="0"/>
              </w:rPr>
              <w:t>资产质量管理</w:t>
            </w: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rPr>
                <w:sz w:val="14"/>
                <w:szCs w:val="14"/>
              </w:rPr>
            </w:pPr>
            <w:r>
              <w:rPr>
                <w:rFonts w:hint="default" w:ascii="仿宋_GB2312" w:eastAsia="仿宋_GB2312" w:cs="仿宋_GB2312"/>
                <w:sz w:val="14"/>
                <w:szCs w:val="14"/>
                <w:bdr w:val="none" w:color="auto" w:sz="0" w:space="0"/>
              </w:rPr>
              <w:t>是否建立可持续的资本补充机制，并严格执行。</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604" w:type="pct"/>
            <w:vMerge w:val="continue"/>
            <w:tcBorders>
              <w:top w:val="nil"/>
              <w:left w:val="nil"/>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2746"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是否建立规范的资产风险分类制度，并严格执行。</w:t>
            </w:r>
          </w:p>
        </w:tc>
        <w:tc>
          <w:tcPr>
            <w:tcW w:w="1060" w:type="pct"/>
            <w:shd w:val="clear"/>
            <w:vAlign w:val="center"/>
          </w:tcPr>
          <w:p>
            <w:pPr>
              <w:rPr>
                <w:rFonts w:hint="eastAsia" w:ascii="宋体"/>
                <w:sz w:val="14"/>
                <w:szCs w:val="1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FB2E4A"/>
    <w:rsid w:val="24505671"/>
    <w:rsid w:val="28FB2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华文仿宋" w:cs="仿宋" w:asciiTheme="minorHAnsi" w:hAnsiTheme="minorHAnsi"/>
      <w:kern w:val="2"/>
      <w:sz w:val="30"/>
      <w:szCs w:val="3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2020-12-13T12:31:00Z</dcterms:created>
  <dc:creator>小小</dc:creator>
  <cp:lastModifiedBy>小小</cp:lastModifiedBy>
  <dcterms:modified xsi:type="dcterms:W3CDTF">2020-12-13T12:31:45Z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